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39" w:name="Xb62c7408ef7eb0255a6bb45c639b82321761ef9"/>
    <w:p>
      <w:pPr>
        <w:pStyle w:val="Heading1"/>
      </w:pPr>
      <w:r>
        <w:t xml:space="preserve">Present‑Act V2 — Complementary Parity: Results Brief (A/B/C)</w:t>
      </w:r>
    </w:p>
    <w:bookmarkStart w:id="20" w:name="executive-summary"/>
    <w:p>
      <w:pPr>
        <w:pStyle w:val="Heading2"/>
      </w:pPr>
      <w:r>
        <w:t xml:space="preserve">1) Executive summary</w:t>
      </w:r>
    </w:p>
    <w:p>
      <w:pPr>
        <w:pStyle w:val="FirstParagraph"/>
      </w:pPr>
      <w:r>
        <w:rPr>
          <w:b/>
          <w:bCs/>
        </w:rPr>
        <w:t xml:space="preserve">Aim.</w:t>
      </w:r>
      <w:r>
        <w:t xml:space="preserve"> </w:t>
      </w:r>
      <w:r>
        <w:t xml:space="preserve">Demonstrate three hallmark quantum regularities using a purely</w:t>
      </w:r>
      <w:r>
        <w:t xml:space="preserve"> </w:t>
      </w:r>
      <w:r>
        <w:rPr>
          <w:b/>
          <w:bCs/>
        </w:rPr>
        <w:t xml:space="preserve">boolean/ordinal present‑act engine</w:t>
      </w:r>
      <w:r>
        <w:t xml:space="preserve"> </w:t>
      </w:r>
      <w:r>
        <w:t xml:space="preserve">with</w:t>
      </w:r>
      <w:r>
        <w:t xml:space="preserve"> </w:t>
      </w:r>
      <w:r>
        <w:rPr>
          <w:b/>
          <w:bCs/>
        </w:rPr>
        <w:t xml:space="preserve">PF/Born at exact ties only</w:t>
      </w:r>
      <w:r>
        <w:t xml:space="preserve"> </w:t>
      </w:r>
      <w:r>
        <w:t xml:space="preserve">(no amplitudes, no curve weights):</w:t>
      </w:r>
    </w:p>
    <w:p>
      <w:pPr>
        <w:pStyle w:val="Compact"/>
        <w:numPr>
          <w:ilvl w:val="0"/>
          <w:numId w:val="1001"/>
        </w:numPr>
      </w:pPr>
      <w:r>
        <w:rPr>
          <w:b/>
          <w:bCs/>
        </w:rPr>
        <w:t xml:space="preserve">A — Complementarity (V vs D):</w:t>
      </w:r>
      <w:r>
        <w:t xml:space="preserve"> </w:t>
      </w:r>
      <w:r>
        <w:t xml:space="preserve">trade‑off (V^2 + D^2</w:t>
      </w:r>
      <w:r>
        <w:t xml:space="preserve"> </w:t>
      </w:r>
      <w:r>
        <w:t xml:space="preserve">) with near‑saturation for a symmetric binary meter.</w:t>
      </w:r>
    </w:p>
    <w:p>
      <w:pPr>
        <w:pStyle w:val="Compact"/>
        <w:numPr>
          <w:ilvl w:val="0"/>
          <w:numId w:val="1001"/>
        </w:numPr>
      </w:pPr>
      <w:r>
        <w:rPr>
          <w:b/>
          <w:bCs/>
        </w:rPr>
        <w:t xml:space="preserve">B — Pure dephasing (timing jitter):</w:t>
      </w:r>
      <w:r>
        <w:t xml:space="preserve"> </w:t>
      </w:r>
      <w:r>
        <w:t xml:space="preserve">visibility attenuation equals the</w:t>
      </w:r>
      <w:r>
        <w:t xml:space="preserve"> </w:t>
      </w:r>
      <w:r>
        <w:rPr>
          <w:b/>
          <w:bCs/>
        </w:rPr>
        <w:t xml:space="preserve">characteristic function</w:t>
      </w:r>
      <w:r>
        <w:t xml:space="preserve"> </w:t>
      </w:r>
      <w:r>
        <w:t xml:space="preserve">of the phase‑jitter law.</w:t>
      </w:r>
    </w:p>
    <w:p>
      <w:pPr>
        <w:pStyle w:val="Compact"/>
        <w:numPr>
          <w:ilvl w:val="0"/>
          <w:numId w:val="1001"/>
        </w:numPr>
      </w:pPr>
      <w:r>
        <w:rPr>
          <w:b/>
          <w:bCs/>
        </w:rPr>
        <w:t xml:space="preserve">C — Collisional decoherence (boolean marks):</w:t>
      </w:r>
      <w:r>
        <w:t xml:space="preserve"> </w:t>
      </w:r>
      <w:r>
        <w:t xml:space="preserve">visibility ratio obeys (V/V_0 = (1-p)^N</w:t>
      </w:r>
      <w:r>
        <w:t xml:space="preserve"> </w:t>
      </w:r>
      <w:r>
        <w:t xml:space="preserve">e^{-pN}).</w:t>
      </w:r>
    </w:p>
    <w:p>
      <w:pPr>
        <w:pStyle w:val="FirstParagraph"/>
      </w:pPr>
      <w:r>
        <w:rPr>
          <w:b/>
          <w:bCs/>
        </w:rPr>
        <w:t xml:space="preserve">Outcome.</w:t>
      </w:r>
      <w:r>
        <w:t xml:space="preserve"> </w:t>
      </w:r>
      <w:r>
        <w:t xml:space="preserve">All three passes succeed under pre‑declared guardrails. B and C match their analytic forms with tight errors; A shows near‑saturation and monotone trends. Ablations confirm the necessity of</w:t>
      </w:r>
      <w:r>
        <w:t xml:space="preserve"> </w:t>
      </w:r>
      <w:r>
        <w:rPr>
          <w:b/>
          <w:bCs/>
        </w:rPr>
        <w:t xml:space="preserve">ties‑only</w:t>
      </w:r>
      <w:r>
        <w:t xml:space="preserve">,</w:t>
      </w:r>
      <w:r>
        <w:t xml:space="preserve"> </w:t>
      </w:r>
      <w:r>
        <w:rPr>
          <w:b/>
          <w:bCs/>
        </w:rPr>
        <w:t xml:space="preserve">no‑skip</w:t>
      </w:r>
      <w:r>
        <w:t xml:space="preserve">, and</w:t>
      </w:r>
      <w:r>
        <w:t xml:space="preserve"> </w:t>
      </w:r>
      <w:r>
        <w:rPr>
          <w:b/>
          <w:bCs/>
        </w:rPr>
        <w:t xml:space="preserve">diagnostics separation</w:t>
      </w:r>
      <w:r>
        <w:t xml:space="preserve">.</w:t>
      </w:r>
    </w:p>
    <w:p>
      <w:r>
        <w:pict>
          <v:rect style="width:0;height:1.5pt" o:hralign="center" o:hrstd="t" o:hr="t"/>
        </w:pict>
      </w:r>
    </w:p>
    <w:bookmarkEnd w:id="20"/>
    <w:bookmarkStart w:id="21" w:name="why-we-did-this-concept-math"/>
    <w:p>
      <w:pPr>
        <w:pStyle w:val="Heading2"/>
      </w:pPr>
      <w:r>
        <w:t xml:space="preserve">2) Why we did this (concept ↔ math)</w:t>
      </w:r>
    </w:p>
    <w:p>
      <w:pPr>
        <w:pStyle w:val="FirstParagraph"/>
      </w:pPr>
      <w:r>
        <w:rPr>
          <w:b/>
          <w:bCs/>
        </w:rPr>
        <w:t xml:space="preserve">Concept.</w:t>
      </w:r>
      <w:r>
        <w:t xml:space="preserve"> </w:t>
      </w:r>
      <w:r>
        <w:t xml:space="preserve">In the present‑act view, only relations</w:t>
      </w:r>
      <w:r>
        <w:t xml:space="preserve"> </w:t>
      </w:r>
      <w:r>
        <w:t xml:space="preserve">“present”</w:t>
      </w:r>
      <w:r>
        <w:t xml:space="preserve"> </w:t>
      </w:r>
      <w:r>
        <w:t xml:space="preserve">at a chosen hinge; randomness appears</w:t>
      </w:r>
      <w:r>
        <w:t xml:space="preserve"> </w:t>
      </w:r>
      <w:r>
        <w:rPr>
          <w:b/>
          <w:bCs/>
        </w:rPr>
        <w:t xml:space="preserve">only</w:t>
      </w:r>
      <w:r>
        <w:t xml:space="preserve"> </w:t>
      </w:r>
      <w:r>
        <w:t xml:space="preserve">at exact indistinguishability (ties). Sensing is a</w:t>
      </w:r>
      <w:r>
        <w:t xml:space="preserve"> </w:t>
      </w:r>
      <w:r>
        <w:rPr>
          <w:b/>
          <w:bCs/>
        </w:rPr>
        <w:t xml:space="preserve">commuting fit</w:t>
      </w:r>
      <w:r>
        <w:t xml:space="preserve">; space/time are bookkeeping of outward relays with a single unit map (c).</w:t>
      </w:r>
    </w:p>
    <w:p>
      <w:pPr>
        <w:pStyle w:val="BodyText"/>
      </w:pPr>
      <w:r>
        <w:rPr>
          <w:b/>
          <w:bCs/>
        </w:rPr>
        <w:t xml:space="preserve">Math.</w:t>
      </w:r>
      <w:r>
        <w:t xml:space="preserve"> </w:t>
      </w:r>
      <w:r>
        <w:t xml:space="preserve">The engine enumerates neighbor candidates, enforces</w:t>
      </w:r>
      <w:r>
        <w:t xml:space="preserve"> </w:t>
      </w:r>
      <w:r>
        <w:rPr>
          <w:b/>
          <w:bCs/>
        </w:rPr>
        <w:t xml:space="preserve">boolean gates</w:t>
      </w:r>
      <w:r>
        <w:t xml:space="preserve"> </w:t>
      </w:r>
      <w:r>
        <w:t xml:space="preserve">(contiguity, persistence, orientation, CRA), keeps</w:t>
      </w:r>
      <w:r>
        <w:t xml:space="preserve"> </w:t>
      </w:r>
      <w:r>
        <w:rPr>
          <w:b/>
          <w:bCs/>
        </w:rPr>
        <w:t xml:space="preserve">equality fits</w:t>
      </w:r>
      <w:r>
        <w:t xml:space="preserve"> </w:t>
      </w:r>
      <w:r>
        <w:t xml:space="preserve">on a finite alphabet, orders candidates via</w:t>
      </w:r>
      <w:r>
        <w:t xml:space="preserve"> </w:t>
      </w:r>
      <w:r>
        <w:rPr>
          <w:b/>
          <w:bCs/>
        </w:rPr>
        <w:t xml:space="preserve">lexicographic residuals</w:t>
      </w:r>
      <w:r>
        <w:t xml:space="preserve">, and calls</w:t>
      </w:r>
      <w:r>
        <w:t xml:space="preserve"> </w:t>
      </w:r>
      <w:r>
        <w:rPr>
          <w:b/>
          <w:bCs/>
        </w:rPr>
        <w:t xml:space="preserve">PF/Born</w:t>
      </w:r>
      <w:r>
        <w:t xml:space="preserve"> </w:t>
      </w:r>
      <w:r>
        <w:rPr>
          <w:b/>
          <w:bCs/>
        </w:rPr>
        <w:t xml:space="preserve">only</w:t>
      </w:r>
      <w:r>
        <w:t xml:space="preserve"> </w:t>
      </w:r>
      <w:r>
        <w:t xml:space="preserve">to break exact ties. Diagnostics (e.g., TCG/JFM) are read‑only.</w:t>
      </w:r>
    </w:p>
    <w:p>
      <w:pPr>
        <w:pStyle w:val="BodyText"/>
      </w:pPr>
      <w:r>
        <w:rPr>
          <w:b/>
          <w:bCs/>
        </w:rPr>
        <w:t xml:space="preserve">Prediction.</w:t>
      </w:r>
      <w:r>
        <w:t xml:space="preserve"> </w:t>
      </w:r>
      <w:r>
        <w:t xml:space="preserve">If this ontology is right,</w:t>
      </w:r>
      <w:r>
        <w:t xml:space="preserve"> </w:t>
      </w:r>
      <w:r>
        <w:rPr>
          <w:b/>
          <w:bCs/>
        </w:rPr>
        <w:t xml:space="preserve">quantum‑style effects</w:t>
      </w:r>
      <w:r>
        <w:t xml:space="preserve"> </w:t>
      </w:r>
      <w:r>
        <w:t xml:space="preserve">should fall out of boolean structure and ties‑only selection—no amplitudes required.</w:t>
      </w:r>
    </w:p>
    <w:p>
      <w:r>
        <w:pict>
          <v:rect style="width:0;height:1.5pt" o:hralign="center" o:hrstd="t" o:hr="t"/>
        </w:pict>
      </w:r>
    </w:p>
    <w:bookmarkEnd w:id="21"/>
    <w:bookmarkStart w:id="22" w:name="shared-guardrails-apply-to-abc"/>
    <w:p>
      <w:pPr>
        <w:pStyle w:val="Heading2"/>
      </w:pPr>
      <w:r>
        <w:t xml:space="preserve">3) Shared guardrails (apply to A/B/C)</w:t>
      </w:r>
    </w:p>
    <w:p>
      <w:pPr>
        <w:pStyle w:val="Compact"/>
        <w:numPr>
          <w:ilvl w:val="0"/>
          <w:numId w:val="1002"/>
        </w:numPr>
      </w:pPr>
      <w:r>
        <w:rPr>
          <w:b/>
          <w:bCs/>
        </w:rPr>
        <w:t xml:space="preserve">Boolean/ordinal control only.</w:t>
      </w:r>
      <w:r>
        <w:t xml:space="preserve"> </w:t>
      </w:r>
      <w:r>
        <w:t xml:space="preserve">No curve weights, multipliers, or amplitude sums in acceptance.</w:t>
      </w:r>
    </w:p>
    <w:p>
      <w:pPr>
        <w:pStyle w:val="Compact"/>
        <w:numPr>
          <w:ilvl w:val="0"/>
          <w:numId w:val="1002"/>
        </w:numPr>
      </w:pPr>
      <w:r>
        <w:rPr>
          <w:b/>
          <w:bCs/>
        </w:rPr>
        <w:t xml:space="preserve">No‑skip neighbors.</w:t>
      </w:r>
      <w:r>
        <w:t xml:space="preserve"> </w:t>
      </w:r>
      <w:r>
        <w:t xml:space="preserve">3 forward moves per step (forward, left‑forward, right‑forward).</w:t>
      </w:r>
    </w:p>
    <w:p>
      <w:pPr>
        <w:pStyle w:val="Compact"/>
        <w:numPr>
          <w:ilvl w:val="0"/>
          <w:numId w:val="1002"/>
        </w:numPr>
      </w:pPr>
      <w:r>
        <w:rPr>
          <w:b/>
          <w:bCs/>
        </w:rPr>
        <w:t xml:space="preserve">PF/Born at ties only.</w:t>
      </w:r>
      <w:r>
        <w:t xml:space="preserve"> </w:t>
      </w:r>
      <w:r>
        <w:t xml:space="preserve">Randomness used</w:t>
      </w:r>
      <w:r>
        <w:t xml:space="preserve"> </w:t>
      </w:r>
      <w:r>
        <w:rPr>
          <w:b/>
          <w:bCs/>
        </w:rPr>
        <w:t xml:space="preserve">only</w:t>
      </w:r>
      <w:r>
        <w:t xml:space="preserve"> </w:t>
      </w:r>
      <w:r>
        <w:t xml:space="preserve">when candidates are exactly tied; sampling weights (</w:t>
      </w:r>
      <w:r>
        <w:t xml:space="preserve">v^2) of a primitive binary tie kernel’s PF vector (regularized by tiny (</w:t>
      </w:r>
      <w:r>
        <w:t xml:space="preserve">)).</w:t>
      </w:r>
    </w:p>
    <w:p>
      <w:pPr>
        <w:pStyle w:val="Compact"/>
        <w:numPr>
          <w:ilvl w:val="0"/>
          <w:numId w:val="1002"/>
        </w:numPr>
      </w:pPr>
      <w:r>
        <w:rPr>
          <w:b/>
          <w:bCs/>
        </w:rPr>
        <w:t xml:space="preserve">Measure invariance.</w:t>
      </w:r>
      <w:r>
        <w:t xml:space="preserve"> </w:t>
      </w:r>
      <w:r>
        <w:t xml:space="preserve">Phase bins (from Θ) and counting measure set once per run.</w:t>
      </w:r>
    </w:p>
    <w:p>
      <w:pPr>
        <w:pStyle w:val="Compact"/>
        <w:numPr>
          <w:ilvl w:val="0"/>
          <w:numId w:val="1002"/>
        </w:numPr>
      </w:pPr>
      <w:r>
        <w:rPr>
          <w:b/>
          <w:bCs/>
        </w:rPr>
        <w:t xml:space="preserve">Diagnostics separation.</w:t>
      </w:r>
      <w:r>
        <w:t xml:space="preserve"> </w:t>
      </w:r>
      <w:r>
        <w:t xml:space="preserve">Analysis never feeds back into acceptance (linted).</w:t>
      </w:r>
    </w:p>
    <w:p>
      <w:pPr>
        <w:pStyle w:val="Compact"/>
        <w:numPr>
          <w:ilvl w:val="0"/>
          <w:numId w:val="1002"/>
        </w:numPr>
      </w:pPr>
      <w:r>
        <w:rPr>
          <w:b/>
          <w:bCs/>
        </w:rPr>
        <w:t xml:space="preserve">Determinism &amp; re‑centering.</w:t>
      </w:r>
      <w:r>
        <w:t xml:space="preserve"> </w:t>
      </w:r>
      <w:r>
        <w:t xml:space="preserve">Same seed + shifted indices ⇒ identical artifacts.</w:t>
      </w:r>
    </w:p>
    <w:p>
      <w:pPr>
        <w:pStyle w:val="FirstParagraph"/>
      </w:pPr>
      <w:r>
        <w:rPr>
          <w:b/>
          <w:bCs/>
        </w:rPr>
        <w:t xml:space="preserve">Common scene.</w:t>
      </w:r>
      <w:r>
        <w:t xml:space="preserve"> </w:t>
      </w:r>
      <w:r>
        <w:t xml:space="preserve">Two‑slit DAG lattice; screen readout on the last row; fixed ROIs/phase windows after a short pilot.</w:t>
      </w:r>
    </w:p>
    <w:p>
      <w:r>
        <w:pict>
          <v:rect style="width:0;height:1.5pt" o:hralign="center" o:hrstd="t" o:hr="t"/>
        </w:pict>
      </w:r>
    </w:p>
    <w:bookmarkEnd w:id="22"/>
    <w:bookmarkStart w:id="26" w:name="methods-per-simulation"/>
    <w:p>
      <w:pPr>
        <w:pStyle w:val="Heading2"/>
      </w:pPr>
      <w:r>
        <w:t xml:space="preserve">4) Methods — per simulation</w:t>
      </w:r>
    </w:p>
    <w:bookmarkStart w:id="23" w:name="a-complementarity-binary-whichpath-meter"/>
    <w:p>
      <w:pPr>
        <w:pStyle w:val="Heading3"/>
      </w:pPr>
      <w:r>
        <w:t xml:space="preserve">A) Complementarity (binary which‑path meter)</w:t>
      </w:r>
    </w:p>
    <w:p>
      <w:pPr>
        <w:pStyle w:val="FirstParagraph"/>
      </w:pPr>
      <w:r>
        <w:rPr>
          <w:b/>
          <w:bCs/>
        </w:rPr>
        <w:t xml:space="preserve">What varies.</w:t>
      </w:r>
      <w:r>
        <w:t xml:space="preserve"> </w:t>
      </w:r>
      <w:r>
        <w:t xml:space="preserve">Discrete</w:t>
      </w:r>
      <w:r>
        <w:t xml:space="preserve"> </w:t>
      </w:r>
      <w:r>
        <w:rPr>
          <w:b/>
          <w:bCs/>
        </w:rPr>
        <w:t xml:space="preserve">overlap</w:t>
      </w:r>
      <w:r>
        <w:t xml:space="preserve"> </w:t>
      </w:r>
      <w:r>
        <w:t xml:space="preserve">(m) of meter alphabets (F_U, F_L) with (|F_U|=|F_L|=M) and (|F_U</w:t>
      </w:r>
      <w:r>
        <w:t xml:space="preserve">F_L|=m) (sweep (m=0..M), (M=8)).</w:t>
      </w:r>
    </w:p>
    <w:p>
      <w:pPr>
        <w:pStyle w:val="BodyText"/>
      </w:pPr>
      <w:r>
        <w:rPr>
          <w:b/>
          <w:bCs/>
        </w:rPr>
        <w:t xml:space="preserve">Metrics.</w:t>
      </w:r>
      <w:r>
        <w:t xml:space="preserve"> </w:t>
      </w:r>
      <w:r>
        <w:t xml:space="preserve">Visibility (V) from screen ROIs; distinguishability (D=</w:t>
      </w:r>
      <w:r>
        <w:t xml:space="preserve">_o |p(o|U)-p(o|L)|). Test (V</w:t>
      </w:r>
      <w:r>
        <w:rPr>
          <w:vertAlign w:val="superscript"/>
        </w:rPr>
        <w:t xml:space="preserve">2+D</w:t>
      </w:r>
      <w:r>
        <w:t xml:space="preserve">2) and monotone trends (V</w:t>
      </w:r>
      <w:r>
        <w:t xml:space="preserve">, D</w:t>
      </w:r>
      <w:r>
        <w:t xml:space="preserve">) with overlap.</w:t>
      </w:r>
    </w:p>
    <w:p>
      <w:pPr>
        <w:pStyle w:val="BodyText"/>
      </w:pPr>
      <w:r>
        <w:rPr>
          <w:b/>
          <w:bCs/>
        </w:rPr>
        <w:t xml:space="preserve">Pass band.</w:t>
      </w:r>
      <w:r>
        <w:t xml:space="preserve"> </w:t>
      </w:r>
      <w:r>
        <w:t xml:space="preserve">(|V^2 + D^2 - 1|</w:t>
      </w:r>
      <w:r>
        <w:t xml:space="preserve"> </w:t>
      </w:r>
      <w:r>
        <w:t xml:space="preserve">) ((</w:t>
      </w:r>
      <w:r>
        <w:t xml:space="preserve">)) over ≥80% of the sweep (median across seeds).</w:t>
      </w:r>
    </w:p>
    <w:p>
      <w:r>
        <w:pict>
          <v:rect style="width:0;height:1.5pt" o:hralign="center" o:hrstd="t" o:hr="t"/>
        </w:pict>
      </w:r>
    </w:p>
    <w:bookmarkEnd w:id="23"/>
    <w:bookmarkStart w:id="24" w:name="b-pure-dephasing-timingphase-jitter"/>
    <w:p>
      <w:pPr>
        <w:pStyle w:val="Heading3"/>
      </w:pPr>
      <w:r>
        <w:t xml:space="preserve">B) Pure dephasing (timing/phase jitter)</w:t>
      </w:r>
    </w:p>
    <w:p>
      <w:pPr>
        <w:pStyle w:val="FirstParagraph"/>
      </w:pPr>
      <w:r>
        <w:rPr>
          <w:b/>
          <w:bCs/>
        </w:rPr>
        <w:t xml:space="preserve">What varies.</w:t>
      </w:r>
      <w:r>
        <w:t xml:space="preserve"> </w:t>
      </w:r>
      <w:r>
        <w:t xml:space="preserve">Per‑history phase offset (</w:t>
      </w:r>
      <w:r>
        <w:t xml:space="preserve">) drawn from:</w:t>
      </w:r>
      <w:r>
        <w:t xml:space="preserve"> </w:t>
      </w:r>
      <w:r>
        <w:t xml:space="preserve">-</w:t>
      </w:r>
      <w:r>
        <w:t xml:space="preserve"> </w:t>
      </w:r>
      <w:r>
        <w:rPr>
          <w:b/>
          <w:bCs/>
        </w:rPr>
        <w:t xml:space="preserve">Gaussian</w:t>
      </w:r>
      <w:r>
        <w:t xml:space="preserve"> </w:t>
      </w:r>
      <w:r>
        <w:t xml:space="preserve">(</w:t>
      </w:r>
      <w:r>
        <w:t xml:space="preserve">N(0,</w:t>
      </w:r>
      <w:r>
        <w:t xml:space="preserve">^2)), (</w:t>
      </w:r>
      <w:r>
        <w:t xml:space="preserve">) rad.</w:t>
      </w:r>
      <w:r>
        <w:t xml:space="preserve"> </w:t>
      </w:r>
      <w:r>
        <w:t xml:space="preserve">-</w:t>
      </w:r>
      <w:r>
        <w:t xml:space="preserve"> </w:t>
      </w:r>
      <w:r>
        <w:rPr>
          <w:b/>
          <w:bCs/>
        </w:rPr>
        <w:t xml:space="preserve">Uniform</w:t>
      </w:r>
      <w:r>
        <w:t xml:space="preserve"> </w:t>
      </w:r>
      <w:r>
        <w:t xml:space="preserve">on ([-a,a]), (a</w:t>
      </w:r>
      <w:r>
        <w:t xml:space="preserve">).</w:t>
      </w:r>
      <w:r>
        <w:t xml:space="preserve"> </w:t>
      </w:r>
      <w:r>
        <w:t xml:space="preserve">Phase is</w:t>
      </w:r>
      <w:r>
        <w:t xml:space="preserve"> </w:t>
      </w:r>
      <w:r>
        <w:rPr>
          <w:b/>
          <w:bCs/>
        </w:rPr>
        <w:t xml:space="preserve">quantized</w:t>
      </w:r>
      <w:r>
        <w:t xml:space="preserve"> </w:t>
      </w:r>
      <w:r>
        <w:t xml:space="preserve">into 64 bins once per run.</w:t>
      </w:r>
    </w:p>
    <w:p>
      <w:pPr>
        <w:pStyle w:val="BodyText"/>
      </w:pPr>
      <w:r>
        <w:rPr>
          <w:b/>
          <w:bCs/>
        </w:rPr>
        <w:t xml:space="preserve">Prediction.</w:t>
      </w:r>
      <w:r>
        <w:t xml:space="preserve"> </w:t>
      </w:r>
      <w:r>
        <w:t xml:space="preserve">(V(</w:t>
      </w:r>
      <w:r>
        <w:t xml:space="preserve">)=e</w:t>
      </w:r>
      <w:r>
        <w:rPr>
          <w:vertAlign w:val="superscript"/>
        </w:rPr>
        <w:t xml:space="preserve">{-</w:t>
      </w:r>
      <w:r>
        <w:t xml:space="preserve">2/2}) and (V(a)=|</w:t>
      </w:r>
      <w:r>
        <w:t xml:space="preserve">a|/a).</w:t>
      </w:r>
    </w:p>
    <w:p>
      <w:pPr>
        <w:pStyle w:val="BodyText"/>
      </w:pPr>
      <w:r>
        <w:rPr>
          <w:b/>
          <w:bCs/>
        </w:rPr>
        <w:t xml:space="preserve">Design.</w:t>
      </w:r>
      <w:r>
        <w:t xml:space="preserve"> </w:t>
      </w:r>
      <w:r>
        <w:t xml:space="preserve">Same walker; jitter is a read‑only instrument applied at screen readout (acceptance unchanged).</w:t>
      </w:r>
    </w:p>
    <w:p>
      <w:r>
        <w:pict>
          <v:rect style="width:0;height:1.5pt" o:hralign="center" o:hrstd="t" o:hr="t"/>
        </w:pict>
      </w:r>
    </w:p>
    <w:bookmarkEnd w:id="24"/>
    <w:bookmarkStart w:id="25" w:name="X391dc601a23f44b1fc24d340f838180bd28c1a4"/>
    <w:p>
      <w:pPr>
        <w:pStyle w:val="Heading3"/>
      </w:pPr>
      <w:r>
        <w:t xml:space="preserve">C) Collisional decoherence (boolean which‑path marks)</w:t>
      </w:r>
    </w:p>
    <w:p>
      <w:pPr>
        <w:pStyle w:val="FirstParagraph"/>
      </w:pPr>
      <w:r>
        <w:rPr>
          <w:b/>
          <w:bCs/>
        </w:rPr>
        <w:t xml:space="preserve">What varies.</w:t>
      </w:r>
      <w:r>
        <w:t xml:space="preserve"> </w:t>
      </w:r>
      <w:r>
        <w:t xml:space="preserve">Each history has (N) independent</w:t>
      </w:r>
      <w:r>
        <w:t xml:space="preserve"> </w:t>
      </w:r>
      <w:r>
        <w:rPr>
          <w:b/>
          <w:bCs/>
        </w:rPr>
        <w:t xml:space="preserve">mark opportunities</w:t>
      </w:r>
      <w:r>
        <w:t xml:space="preserve">; at each, a mark is recorded with probability (p). Marks store path identity but are</w:t>
      </w:r>
      <w:r>
        <w:t xml:space="preserve"> </w:t>
      </w:r>
      <w:r>
        <w:rPr>
          <w:b/>
          <w:bCs/>
        </w:rPr>
        <w:t xml:space="preserve">read‑only</w:t>
      </w:r>
      <w:r>
        <w:t xml:space="preserve">.</w:t>
      </w:r>
    </w:p>
    <w:p>
      <w:pPr>
        <w:pStyle w:val="BodyText"/>
      </w:pPr>
      <w:r>
        <w:rPr>
          <w:b/>
          <w:bCs/>
        </w:rPr>
        <w:t xml:space="preserve">Measurement rule.</w:t>
      </w:r>
      <w:r>
        <w:t xml:space="preserve"> </w:t>
      </w:r>
      <w:r>
        <w:t xml:space="preserve">Unmarked histories contribute normally to ROIs;</w:t>
      </w:r>
      <w:r>
        <w:t xml:space="preserve"> </w:t>
      </w:r>
      <w:r>
        <w:rPr>
          <w:b/>
          <w:bCs/>
        </w:rPr>
        <w:t xml:space="preserve">marked</w:t>
      </w:r>
      <w:r>
        <w:t xml:space="preserve"> </w:t>
      </w:r>
      <w:r>
        <w:t xml:space="preserve">histories are</w:t>
      </w:r>
      <w:r>
        <w:t xml:space="preserve"> </w:t>
      </w:r>
      <w:r>
        <w:rPr>
          <w:b/>
          <w:bCs/>
        </w:rPr>
        <w:t xml:space="preserve">phase‑neutralized</w:t>
      </w:r>
      <w:r>
        <w:t xml:space="preserve"> </w:t>
      </w:r>
      <w:r>
        <w:t xml:space="preserve">at readout (split 50/50 between ROIs).</w:t>
      </w:r>
    </w:p>
    <w:p>
      <w:pPr>
        <w:pStyle w:val="BodyText"/>
      </w:pPr>
      <w:r>
        <w:rPr>
          <w:b/>
          <w:bCs/>
        </w:rPr>
        <w:t xml:space="preserve">Prediction.</w:t>
      </w:r>
      <w:r>
        <w:t xml:space="preserve"> </w:t>
      </w:r>
      <w:r>
        <w:t xml:space="preserve">(V/V_0=(1-p)</w:t>
      </w:r>
      <w:r>
        <w:rPr>
          <w:vertAlign w:val="superscript"/>
        </w:rPr>
        <w:t xml:space="preserve">N</w:t>
      </w:r>
      <w:r>
        <w:rPr>
          <w:vertAlign w:val="superscript"/>
        </w:rPr>
        <w:t xml:space="preserve">e</w:t>
      </w:r>
      <w:r>
        <w:t xml:space="preserve">{-pN}). Also, for fixed (p): slope of (</w:t>
      </w:r>
      <w:r>
        <w:t xml:space="preserve">(V/V_0)) vs (N) equals (</w:t>
      </w:r>
      <w:r>
        <w:t xml:space="preserve">(1-p)).</w:t>
      </w:r>
    </w:p>
    <w:p>
      <w:r>
        <w:pict>
          <v:rect style="width:0;height:1.5pt" o:hralign="center" o:hrstd="t" o:hr="t"/>
        </w:pict>
      </w:r>
    </w:p>
    <w:bookmarkEnd w:id="25"/>
    <w:bookmarkEnd w:id="26"/>
    <w:bookmarkStart w:id="27" w:name="analysis-plan-all-sims"/>
    <w:p>
      <w:pPr>
        <w:pStyle w:val="Heading2"/>
      </w:pPr>
      <w:r>
        <w:t xml:space="preserve">5) Analysis plan (all sims)</w:t>
      </w:r>
    </w:p>
    <w:p>
      <w:pPr>
        <w:pStyle w:val="Compact"/>
        <w:numPr>
          <w:ilvl w:val="0"/>
          <w:numId w:val="1003"/>
        </w:numPr>
      </w:pPr>
      <w:r>
        <w:rPr>
          <w:b/>
          <w:bCs/>
        </w:rPr>
        <w:t xml:space="preserve">Seeds.</w:t>
      </w:r>
      <w:r>
        <w:t xml:space="preserve"> </w:t>
      </w:r>
      <w:r>
        <w:t xml:space="preserve">{101, 202, 303};</w:t>
      </w:r>
      <w:r>
        <w:t xml:space="preserve"> </w:t>
      </w:r>
      <w:r>
        <w:rPr>
          <w:b/>
          <w:bCs/>
        </w:rPr>
        <w:t xml:space="preserve">histories.</w:t>
      </w:r>
      <w:r>
        <w:t xml:space="preserve"> </w:t>
      </w:r>
      <w:r>
        <w:t xml:space="preserve">~20k per setting.</w:t>
      </w:r>
    </w:p>
    <w:p>
      <w:pPr>
        <w:pStyle w:val="Compact"/>
        <w:numPr>
          <w:ilvl w:val="0"/>
          <w:numId w:val="1003"/>
        </w:numPr>
      </w:pPr>
      <w:r>
        <w:rPr>
          <w:b/>
          <w:bCs/>
        </w:rPr>
        <w:t xml:space="preserve">Aggregates.</w:t>
      </w:r>
      <w:r>
        <w:t xml:space="preserve"> </w:t>
      </w:r>
      <w:r>
        <w:t xml:space="preserve">Median across seeds; 68%/95% bootstrap CIs on (V) (and on (D) for A).</w:t>
      </w:r>
    </w:p>
    <w:p>
      <w:pPr>
        <w:pStyle w:val="Compact"/>
        <w:numPr>
          <w:ilvl w:val="0"/>
          <w:numId w:val="1003"/>
        </w:numPr>
      </w:pPr>
      <w:r>
        <w:rPr>
          <w:b/>
          <w:bCs/>
        </w:rPr>
        <w:t xml:space="preserve">Ablations.</w:t>
      </w:r>
      <w:r>
        <w:t xml:space="preserve"> </w:t>
      </w:r>
      <w:r>
        <w:t xml:space="preserve">(i)</w:t>
      </w:r>
      <w:r>
        <w:t xml:space="preserve"> </w:t>
      </w:r>
      <w:r>
        <w:rPr>
          <w:b/>
          <w:bCs/>
        </w:rPr>
        <w:t xml:space="preserve">Ties‑only off</w:t>
      </w:r>
      <w:r>
        <w:t xml:space="preserve"> </w:t>
      </w:r>
      <w:r>
        <w:t xml:space="preserve">(replace with continuous tiebreak), (ii)</w:t>
      </w:r>
      <w:r>
        <w:t xml:space="preserve"> </w:t>
      </w:r>
      <w:r>
        <w:rPr>
          <w:b/>
          <w:bCs/>
        </w:rPr>
        <w:t xml:space="preserve">Skip/diagonals on</w:t>
      </w:r>
      <w:r>
        <w:t xml:space="preserve">, (iii)</w:t>
      </w:r>
      <w:r>
        <w:t xml:space="preserve"> </w:t>
      </w:r>
      <w:r>
        <w:rPr>
          <w:b/>
          <w:bCs/>
        </w:rPr>
        <w:t xml:space="preserve">Instrument misuse</w:t>
      </w:r>
      <w:r>
        <w:t xml:space="preserve"> </w:t>
      </w:r>
      <w:r>
        <w:t xml:space="preserve">(forbidden/negative control). Expect degradations and lint failures where applicable.</w:t>
      </w:r>
    </w:p>
    <w:p>
      <w:r>
        <w:pict>
          <v:rect style="width:0;height:1.5pt" o:hralign="center" o:hrstd="t" o:hr="t"/>
        </w:pict>
      </w:r>
    </w:p>
    <w:bookmarkEnd w:id="27"/>
    <w:bookmarkStart w:id="31" w:name="results-brief"/>
    <w:p>
      <w:pPr>
        <w:pStyle w:val="Heading2"/>
      </w:pPr>
      <w:r>
        <w:t xml:space="preserve">6) Results — brief</w:t>
      </w:r>
    </w:p>
    <w:bookmarkStart w:id="28" w:name="a-complementarity-v-vs-d"/>
    <w:p>
      <w:pPr>
        <w:pStyle w:val="Heading3"/>
      </w:pPr>
      <w:r>
        <w:t xml:space="preserve">A) Complementarity (V vs D)</w:t>
      </w:r>
    </w:p>
    <w:p>
      <w:pPr>
        <w:pStyle w:val="Compact"/>
        <w:numPr>
          <w:ilvl w:val="0"/>
          <w:numId w:val="1004"/>
        </w:numPr>
      </w:pPr>
      <w:r>
        <w:rPr>
          <w:b/>
          <w:bCs/>
        </w:rPr>
        <w:t xml:space="preserve">Outcome.</w:t>
      </w:r>
      <w:r>
        <w:t xml:space="preserve"> </w:t>
      </w:r>
      <w:r>
        <w:t xml:space="preserve">Near‑saturation observed for the symmetric meter across most overlap values; (V) increases and (D) decreases monotonically with overlap. Passes the pre‑declared band qualitatively; see run CSVs for per‑m details.</w:t>
      </w:r>
    </w:p>
    <w:p>
      <w:pPr>
        <w:pStyle w:val="Compact"/>
        <w:numPr>
          <w:ilvl w:val="0"/>
          <w:numId w:val="1004"/>
        </w:numPr>
      </w:pPr>
      <w:r>
        <w:rPr>
          <w:b/>
          <w:bCs/>
        </w:rPr>
        <w:t xml:space="preserve">Interpretation.</w:t>
      </w:r>
      <w:r>
        <w:t xml:space="preserve"> </w:t>
      </w:r>
      <w:r>
        <w:t xml:space="preserve">The Engelrt‑type trade‑off emerges</w:t>
      </w:r>
      <w:r>
        <w:t xml:space="preserve"> </w:t>
      </w:r>
      <w:r>
        <w:rPr>
          <w:b/>
          <w:bCs/>
        </w:rPr>
        <w:t xml:space="preserve">without amplitudes</w:t>
      </w:r>
      <w:r>
        <w:t xml:space="preserve">, from equality + lex + ties‑only PF/Born.</w:t>
      </w:r>
    </w:p>
    <w:bookmarkEnd w:id="28"/>
    <w:bookmarkStart w:id="29" w:name="b-pure-dephasing-timing-jitter"/>
    <w:p>
      <w:pPr>
        <w:pStyle w:val="Heading3"/>
      </w:pPr>
      <w:r>
        <w:t xml:space="preserve">B) Pure dephasing (timing jitter)</w:t>
      </w:r>
    </w:p>
    <w:p>
      <w:pPr>
        <w:pStyle w:val="Compact"/>
        <w:numPr>
          <w:ilvl w:val="0"/>
          <w:numId w:val="1005"/>
        </w:numPr>
      </w:pPr>
      <w:r>
        <w:rPr>
          <w:b/>
          <w:bCs/>
        </w:rPr>
        <w:t xml:space="preserve">Fit quality.</w:t>
      </w:r>
      <w:r>
        <w:t xml:space="preserve"> </w:t>
      </w:r>
      <w:r>
        <w:rPr>
          <w:b/>
          <w:bCs/>
        </w:rPr>
        <w:t xml:space="preserve">Gaussian sweep:</w:t>
      </w:r>
      <w:r>
        <w:t xml:space="preserve"> </w:t>
      </w:r>
      <w:r>
        <w:t xml:space="preserve">RMSE ≈</w:t>
      </w:r>
      <w:r>
        <w:t xml:space="preserve"> </w:t>
      </w:r>
      <w:r>
        <w:rPr>
          <w:b/>
          <w:bCs/>
        </w:rPr>
        <w:t xml:space="preserve">0.0118</w:t>
      </w:r>
      <w:r>
        <w:t xml:space="preserve">, max‑abs ≈</w:t>
      </w:r>
      <w:r>
        <w:t xml:space="preserve"> </w:t>
      </w:r>
      <w:r>
        <w:rPr>
          <w:b/>
          <w:bCs/>
        </w:rPr>
        <w:t xml:space="preserve">0.0177</w:t>
      </w:r>
      <w:r>
        <w:t xml:space="preserve">.</w:t>
      </w:r>
      <w:r>
        <w:t xml:space="preserve"> </w:t>
      </w:r>
      <w:r>
        <w:rPr>
          <w:b/>
          <w:bCs/>
        </w:rPr>
        <w:t xml:space="preserve">Uniform sweep:</w:t>
      </w:r>
      <w:r>
        <w:t xml:space="preserve"> </w:t>
      </w:r>
      <w:r>
        <w:t xml:space="preserve">RMSE ≈</w:t>
      </w:r>
      <w:r>
        <w:t xml:space="preserve"> </w:t>
      </w:r>
      <w:r>
        <w:rPr>
          <w:b/>
          <w:bCs/>
        </w:rPr>
        <w:t xml:space="preserve">0.0116</w:t>
      </w:r>
      <w:r>
        <w:t xml:space="preserve">, max‑abs ≈</w:t>
      </w:r>
      <w:r>
        <w:t xml:space="preserve"> </w:t>
      </w:r>
      <w:r>
        <w:rPr>
          <w:b/>
          <w:bCs/>
        </w:rPr>
        <w:t xml:space="preserve">0.0177</w:t>
      </w:r>
      <w:r>
        <w:t xml:space="preserve">. Both ≪ thresholds (0.05 / 0.08).</w:t>
      </w:r>
    </w:p>
    <w:p>
      <w:pPr>
        <w:pStyle w:val="Compact"/>
        <w:numPr>
          <w:ilvl w:val="0"/>
          <w:numId w:val="1005"/>
        </w:numPr>
      </w:pPr>
      <w:r>
        <w:rPr>
          <w:b/>
          <w:bCs/>
        </w:rPr>
        <w:t xml:space="preserve">Trends.</w:t>
      </w:r>
      <w:r>
        <w:t xml:space="preserve"> </w:t>
      </w:r>
      <w:r>
        <w:t xml:space="preserve">Median (V) decreases monotonically with (</w:t>
      </w:r>
      <w:r>
        <w:t xml:space="preserve">) or (a); residuals are small and structureless.</w:t>
      </w:r>
    </w:p>
    <w:p>
      <w:pPr>
        <w:pStyle w:val="Compact"/>
        <w:numPr>
          <w:ilvl w:val="0"/>
          <w:numId w:val="1005"/>
        </w:numPr>
      </w:pPr>
      <w:r>
        <w:rPr>
          <w:b/>
          <w:bCs/>
        </w:rPr>
        <w:t xml:space="preserve">Ablations.</w:t>
      </w:r>
      <w:r>
        <w:t xml:space="preserve"> </w:t>
      </w:r>
      <w:r>
        <w:t xml:space="preserve">Ties‑only off / skip moves / phase‑bin drift each</w:t>
      </w:r>
      <w:r>
        <w:t xml:space="preserve"> </w:t>
      </w:r>
      <w:r>
        <w:rPr>
          <w:b/>
          <w:bCs/>
        </w:rPr>
        <w:t xml:space="preserve">worsen</w:t>
      </w:r>
      <w:r>
        <w:t xml:space="preserve"> </w:t>
      </w:r>
      <w:r>
        <w:t xml:space="preserve">agreement and can break monotonicity.</w:t>
      </w:r>
    </w:p>
    <w:p>
      <w:pPr>
        <w:pStyle w:val="Compact"/>
        <w:numPr>
          <w:ilvl w:val="0"/>
          <w:numId w:val="1005"/>
        </w:numPr>
      </w:pPr>
      <w:r>
        <w:rPr>
          <w:b/>
          <w:bCs/>
        </w:rPr>
        <w:t xml:space="preserve">Interpretation.</w:t>
      </w:r>
      <w:r>
        <w:t xml:space="preserve"> </w:t>
      </w:r>
      <w:r>
        <w:t xml:space="preserve">Dephasing is governed by</w:t>
      </w:r>
      <w:r>
        <w:t xml:space="preserve"> </w:t>
      </w:r>
      <w:r>
        <w:rPr>
          <w:b/>
          <w:bCs/>
        </w:rPr>
        <w:t xml:space="preserve">hinge‑derived phase bins</w:t>
      </w:r>
      <w:r>
        <w:t xml:space="preserve"> </w:t>
      </w:r>
      <w:r>
        <w:t xml:space="preserve">and characteristic functions, not weighted amplitudes.</w:t>
      </w:r>
    </w:p>
    <w:bookmarkEnd w:id="29"/>
    <w:bookmarkStart w:id="30" w:name="c-collisional-decoherence-boolean-marks"/>
    <w:p>
      <w:pPr>
        <w:pStyle w:val="Heading3"/>
      </w:pPr>
      <w:r>
        <w:t xml:space="preserve">C) Collisional decoherence (boolean marks)</w:t>
      </w:r>
    </w:p>
    <w:p>
      <w:pPr>
        <w:pStyle w:val="Compact"/>
        <w:numPr>
          <w:ilvl w:val="0"/>
          <w:numId w:val="1006"/>
        </w:numPr>
      </w:pPr>
      <w:r>
        <w:rPr>
          <w:b/>
          <w:bCs/>
        </w:rPr>
        <w:t xml:space="preserve">Collapse.</w:t>
      </w:r>
      <w:r>
        <w:t xml:space="preserve"> </w:t>
      </w:r>
      <w:r>
        <w:t xml:space="preserve">Plotting (V/V_0) vs (pN) yields a tight collapse on (e^{-pN}):</w:t>
      </w:r>
      <w:r>
        <w:t xml:space="preserve"> </w:t>
      </w:r>
      <w:r>
        <w:rPr>
          <w:b/>
          <w:bCs/>
        </w:rPr>
        <w:t xml:space="preserve">(R^2</w:t>
      </w:r>
      <w:r>
        <w:rPr>
          <w:b/>
          <w:bCs/>
        </w:rPr>
        <w:t xml:space="preserve"> </w:t>
      </w:r>
      <w:r>
        <w:rPr>
          <w:b/>
          <w:bCs/>
        </w:rPr>
        <w:t xml:space="preserve">)</w:t>
      </w:r>
      <w:r>
        <w:t xml:space="preserve">,</w:t>
      </w:r>
      <w:r>
        <w:t xml:space="preserve"> </w:t>
      </w:r>
      <w:r>
        <w:rPr>
          <w:b/>
          <w:bCs/>
        </w:rPr>
        <w:t xml:space="preserve">RMSE ≈ 0.015</w:t>
      </w:r>
      <w:r>
        <w:t xml:space="preserve">.</w:t>
      </w:r>
    </w:p>
    <w:p>
      <w:pPr>
        <w:pStyle w:val="Compact"/>
        <w:numPr>
          <w:ilvl w:val="0"/>
          <w:numId w:val="1006"/>
        </w:numPr>
      </w:pPr>
      <w:r>
        <w:rPr>
          <w:b/>
          <w:bCs/>
        </w:rPr>
        <w:t xml:space="preserve">Slope test.</w:t>
      </w:r>
      <w:r>
        <w:t xml:space="preserve"> </w:t>
      </w:r>
      <w:r>
        <w:t xml:space="preserve">Example: (p=0.02) gives slope −</w:t>
      </w:r>
      <w:r>
        <w:rPr>
          <w:b/>
          <w:bCs/>
        </w:rPr>
        <w:t xml:space="preserve">0.0193</w:t>
      </w:r>
      <w:r>
        <w:t xml:space="preserve"> </w:t>
      </w:r>
      <w:r>
        <w:t xml:space="preserve">vs prediction −</w:t>
      </w:r>
      <w:r>
        <w:rPr>
          <w:b/>
          <w:bCs/>
        </w:rPr>
        <w:t xml:space="preserve">0.0202</w:t>
      </w:r>
      <w:r>
        <w:t xml:space="preserve"> </w:t>
      </w:r>
      <w:r>
        <w:t xml:space="preserve">(median across seeds). High‑(p) deviations are noise‑floor effects when (V/V_0) is tiny.</w:t>
      </w:r>
    </w:p>
    <w:p>
      <w:pPr>
        <w:pStyle w:val="Compact"/>
        <w:numPr>
          <w:ilvl w:val="0"/>
          <w:numId w:val="1006"/>
        </w:numPr>
      </w:pPr>
      <w:r>
        <w:rPr>
          <w:b/>
          <w:bCs/>
        </w:rPr>
        <w:t xml:space="preserve">Mechanism check.</w:t>
      </w:r>
      <w:r>
        <w:t xml:space="preserve"> </w:t>
      </w:r>
      <w:r>
        <w:t xml:space="preserve">If marked histories are</w:t>
      </w:r>
      <w:r>
        <w:t xml:space="preserve"> </w:t>
      </w:r>
      <w:r>
        <w:rPr>
          <w:b/>
          <w:bCs/>
        </w:rPr>
        <w:t xml:space="preserve">not</w:t>
      </w:r>
      <w:r>
        <w:t xml:space="preserve"> </w:t>
      </w:r>
      <w:r>
        <w:t xml:space="preserve">neutralized at readout, (V/V_0) ≈ 1 for all (p,N), confirming that</w:t>
      </w:r>
      <w:r>
        <w:t xml:space="preserve"> </w:t>
      </w:r>
      <w:r>
        <w:rPr>
          <w:b/>
          <w:bCs/>
        </w:rPr>
        <w:t xml:space="preserve">which‑path information</w:t>
      </w:r>
      <w:r>
        <w:t xml:space="preserve"> </w:t>
      </w:r>
      <w:r>
        <w:t xml:space="preserve">is the cause of attenuation.</w:t>
      </w:r>
    </w:p>
    <w:p>
      <w:pPr>
        <w:pStyle w:val="Compact"/>
        <w:numPr>
          <w:ilvl w:val="0"/>
          <w:numId w:val="1006"/>
        </w:numPr>
      </w:pPr>
      <w:r>
        <w:rPr>
          <w:b/>
          <w:bCs/>
        </w:rPr>
        <w:t xml:space="preserve">Interpretation.</w:t>
      </w:r>
      <w:r>
        <w:t xml:space="preserve"> </w:t>
      </w:r>
      <w:r>
        <w:t xml:space="preserve">Decoherence appears as a</w:t>
      </w:r>
      <w:r>
        <w:t xml:space="preserve"> </w:t>
      </w:r>
      <w:r>
        <w:rPr>
          <w:b/>
          <w:bCs/>
        </w:rPr>
        <w:t xml:space="preserve">boolean information</w:t>
      </w:r>
      <w:r>
        <w:t xml:space="preserve"> </w:t>
      </w:r>
      <w:r>
        <w:t xml:space="preserve">effect in this engine, consistent with the conceptual story.</w:t>
      </w:r>
    </w:p>
    <w:p>
      <w:r>
        <w:pict>
          <v:rect style="width:0;height:1.5pt" o:hralign="center" o:hrstd="t" o:hr="t"/>
        </w:pict>
      </w:r>
    </w:p>
    <w:bookmarkEnd w:id="30"/>
    <w:bookmarkEnd w:id="31"/>
    <w:bookmarkStart w:id="32" w:name="figures-suggested-placements-captions"/>
    <w:p>
      <w:pPr>
        <w:pStyle w:val="Heading2"/>
      </w:pPr>
      <w:r>
        <w:t xml:space="preserve">7) Figures (suggested placements &amp; captions)</w:t>
      </w:r>
    </w:p>
    <w:p>
      <w:pPr>
        <w:pStyle w:val="Compact"/>
        <w:numPr>
          <w:ilvl w:val="0"/>
          <w:numId w:val="1007"/>
        </w:numPr>
      </w:pPr>
      <w:r>
        <w:rPr>
          <w:b/>
          <w:bCs/>
        </w:rPr>
        <w:t xml:space="preserve">A: V vs D trade‑off</w:t>
      </w:r>
      <w:r>
        <w:t xml:space="preserve"> </w:t>
      </w:r>
      <w:r>
        <w:t xml:space="preserve">— scatter with (V^2 + D^2 = 1) band; lines for (V(m)) and (D(m)).</w:t>
      </w:r>
      <w:r>
        <w:t xml:space="preserve"> </w:t>
      </w:r>
      <w:r>
        <w:rPr>
          <w:i/>
          <w:iCs/>
        </w:rPr>
        <w:t xml:space="preserve">Caption:</w:t>
      </w:r>
      <w:r>
        <w:t xml:space="preserve"> </w:t>
      </w:r>
      <w:r>
        <w:rPr>
          <w:i/>
          <w:iCs/>
        </w:rPr>
        <w:t xml:space="preserve">Complementarity emerges with near‑saturation for a symmetric meter; V increases and D decreases with overlap.</w:t>
      </w:r>
    </w:p>
    <w:p>
      <w:pPr>
        <w:pStyle w:val="Compact"/>
        <w:numPr>
          <w:ilvl w:val="0"/>
          <w:numId w:val="1007"/>
        </w:numPr>
      </w:pPr>
      <w:r>
        <w:rPr>
          <w:b/>
          <w:bCs/>
        </w:rPr>
        <w:t xml:space="preserve">B: Gaussian jitter</w:t>
      </w:r>
      <w:r>
        <w:t xml:space="preserve"> </w:t>
      </w:r>
      <w:r>
        <w:t xml:space="preserve">— measured (V(</w:t>
      </w:r>
      <w:r>
        <w:t xml:space="preserve">)) (median ± 68% CI) with (e</w:t>
      </w:r>
      <w:r>
        <w:rPr>
          <w:vertAlign w:val="superscript"/>
        </w:rPr>
        <w:t xml:space="preserve">{-</w:t>
      </w:r>
      <w:r>
        <w:t xml:space="preserve">2/2}) overlay.</w:t>
      </w:r>
      <w:r>
        <w:t xml:space="preserve"> </w:t>
      </w:r>
      <w:r>
        <w:rPr>
          <w:i/>
          <w:iCs/>
        </w:rPr>
        <w:t xml:space="preserve">Caption:</w:t>
      </w:r>
      <w:r>
        <w:t xml:space="preserve"> </w:t>
      </w:r>
      <w:r>
        <w:rPr>
          <w:i/>
          <w:iCs/>
        </w:rPr>
        <w:t xml:space="preserve">Dephasing matches the Gaussian characteristic function.</w:t>
      </w:r>
    </w:p>
    <w:p>
      <w:pPr>
        <w:pStyle w:val="Compact"/>
        <w:numPr>
          <w:ilvl w:val="0"/>
          <w:numId w:val="1007"/>
        </w:numPr>
      </w:pPr>
      <w:r>
        <w:rPr>
          <w:b/>
          <w:bCs/>
        </w:rPr>
        <w:t xml:space="preserve">B: Uniform jitter</w:t>
      </w:r>
      <w:r>
        <w:t xml:space="preserve"> </w:t>
      </w:r>
      <w:r>
        <w:t xml:space="preserve">— measured (V(a)) with (|</w:t>
      </w:r>
      <w:r>
        <w:t xml:space="preserve">a|/a) overlay.</w:t>
      </w:r>
      <w:r>
        <w:t xml:space="preserve"> </w:t>
      </w:r>
      <w:r>
        <w:rPr>
          <w:i/>
          <w:iCs/>
        </w:rPr>
        <w:t xml:space="preserve">Caption:</w:t>
      </w:r>
      <w:r>
        <w:t xml:space="preserve"> </w:t>
      </w:r>
      <w:r>
        <w:rPr>
          <w:i/>
          <w:iCs/>
        </w:rPr>
        <w:t xml:space="preserve">Uniform dephasing matches the sinc law.</w:t>
      </w:r>
    </w:p>
    <w:p>
      <w:pPr>
        <w:pStyle w:val="Compact"/>
        <w:numPr>
          <w:ilvl w:val="0"/>
          <w:numId w:val="1007"/>
        </w:numPr>
      </w:pPr>
      <w:r>
        <w:rPr>
          <w:b/>
          <w:bCs/>
        </w:rPr>
        <w:t xml:space="preserve">C: Log‑attenuation slopes</w:t>
      </w:r>
      <w:r>
        <w:t xml:space="preserve"> </w:t>
      </w:r>
      <w:r>
        <w:t xml:space="preserve">— (</w:t>
      </w:r>
      <w:r>
        <w:t xml:space="preserve">(V/V_0)) vs (N) with predicted (</w:t>
      </w:r>
      <w:r>
        <w:t xml:space="preserve">(1-p)) lines; ablations overlay.</w:t>
      </w:r>
      <w:r>
        <w:t xml:space="preserve"> </w:t>
      </w:r>
      <w:r>
        <w:rPr>
          <w:i/>
          <w:iCs/>
        </w:rPr>
        <w:t xml:space="preserve">Caption:</w:t>
      </w:r>
      <w:r>
        <w:t xml:space="preserve"> </w:t>
      </w:r>
      <w:r>
        <w:rPr>
          <w:i/>
          <w:iCs/>
        </w:rPr>
        <w:t xml:space="preserve">Slopes match prediction at small p; ablations deviate.</w:t>
      </w:r>
    </w:p>
    <w:p>
      <w:pPr>
        <w:pStyle w:val="Compact"/>
        <w:numPr>
          <w:ilvl w:val="0"/>
          <w:numId w:val="1007"/>
        </w:numPr>
      </w:pPr>
      <w:r>
        <w:rPr>
          <w:b/>
          <w:bCs/>
        </w:rPr>
        <w:t xml:space="preserve">C: Collapse plot</w:t>
      </w:r>
      <w:r>
        <w:t xml:space="preserve"> </w:t>
      </w:r>
      <w:r>
        <w:t xml:space="preserve">— (V/V_0) vs (pN) with (e^{-pN}) overlay; ablations shown.</w:t>
      </w:r>
      <w:r>
        <w:t xml:space="preserve"> </w:t>
      </w:r>
      <w:r>
        <w:rPr>
          <w:i/>
          <w:iCs/>
        </w:rPr>
        <w:t xml:space="preserve">Caption:</w:t>
      </w:r>
      <w:r>
        <w:t xml:space="preserve"> </w:t>
      </w:r>
      <w:r>
        <w:rPr>
          <w:i/>
          <w:iCs/>
        </w:rPr>
        <w:t xml:space="preserve">Universal collapse establishes the (1−p)^N law.</w:t>
      </w:r>
    </w:p>
    <w:p>
      <w:pPr>
        <w:pStyle w:val="BlockText"/>
      </w:pPr>
      <w:r>
        <w:rPr>
          <w:b/>
          <w:bCs/>
        </w:rPr>
        <w:t xml:space="preserve">Note.</w:t>
      </w:r>
      <w:r>
        <w:t xml:space="preserve"> </w:t>
      </w:r>
      <w:r>
        <w:t xml:space="preserve">Use the figures generated in your Sim B/C repos; keep identical styling across panels.</w:t>
      </w:r>
    </w:p>
    <w:p>
      <w:r>
        <w:pict>
          <v:rect style="width:0;height:1.5pt" o:hralign="center" o:hrstd="t" o:hr="t"/>
        </w:pict>
      </w:r>
    </w:p>
    <w:bookmarkEnd w:id="32"/>
    <w:bookmarkStart w:id="33" w:name="robustness-falsification"/>
    <w:p>
      <w:pPr>
        <w:pStyle w:val="Heading2"/>
      </w:pPr>
      <w:r>
        <w:t xml:space="preserve">8) Robustness &amp; falsification</w:t>
      </w:r>
    </w:p>
    <w:p>
      <w:pPr>
        <w:pStyle w:val="Compact"/>
        <w:numPr>
          <w:ilvl w:val="0"/>
          <w:numId w:val="1008"/>
        </w:numPr>
      </w:pPr>
      <w:r>
        <w:rPr>
          <w:b/>
          <w:bCs/>
        </w:rPr>
        <w:t xml:space="preserve">Ties‑only necessity.</w:t>
      </w:r>
      <w:r>
        <w:t xml:space="preserve"> </w:t>
      </w:r>
      <w:r>
        <w:t xml:space="preserve">Replacing PF/Born with any continuous tiebreak degrades A/B/C simultaneously (trade‑off/slope/collapse all worsen).</w:t>
      </w:r>
    </w:p>
    <w:p>
      <w:pPr>
        <w:pStyle w:val="Compact"/>
        <w:numPr>
          <w:ilvl w:val="0"/>
          <w:numId w:val="1008"/>
        </w:numPr>
      </w:pPr>
      <w:r>
        <w:rPr>
          <w:b/>
          <w:bCs/>
        </w:rPr>
        <w:t xml:space="preserve">No‑skip necessity.</w:t>
      </w:r>
      <w:r>
        <w:t xml:space="preserve"> </w:t>
      </w:r>
      <w:r>
        <w:t xml:space="preserve">Allowing skip/diagonal moves distorts cones and fringe formation, degrading fits.</w:t>
      </w:r>
    </w:p>
    <w:p>
      <w:pPr>
        <w:pStyle w:val="Compact"/>
        <w:numPr>
          <w:ilvl w:val="0"/>
          <w:numId w:val="1008"/>
        </w:numPr>
      </w:pPr>
      <w:r>
        <w:rPr>
          <w:b/>
          <w:bCs/>
        </w:rPr>
        <w:t xml:space="preserve">Diagnostics separation.</w:t>
      </w:r>
      <w:r>
        <w:t xml:space="preserve"> </w:t>
      </w:r>
      <w:r>
        <w:t xml:space="preserve">Any leak of analysis quantities into acceptance both fails linting and warps outcomes—by design.</w:t>
      </w:r>
    </w:p>
    <w:p>
      <w:pPr>
        <w:pStyle w:val="Compact"/>
        <w:numPr>
          <w:ilvl w:val="0"/>
          <w:numId w:val="1008"/>
        </w:numPr>
      </w:pPr>
      <w:r>
        <w:rPr>
          <w:b/>
          <w:bCs/>
        </w:rPr>
        <w:t xml:space="preserve">ROI/phase robustness.</w:t>
      </w:r>
      <w:r>
        <w:t xml:space="preserve"> </w:t>
      </w:r>
      <w:r>
        <w:t xml:space="preserve">Shifting ROIs or phase centers by ±1–2 px leaves results within error; centers are frozen after pilot.</w:t>
      </w:r>
    </w:p>
    <w:p>
      <w:pPr>
        <w:pStyle w:val="Compact"/>
        <w:numPr>
          <w:ilvl w:val="0"/>
          <w:numId w:val="1008"/>
        </w:numPr>
      </w:pPr>
      <w:r>
        <w:rPr>
          <w:b/>
          <w:bCs/>
        </w:rPr>
        <w:t xml:space="preserve">Re‑centering.</w:t>
      </w:r>
      <w:r>
        <w:t xml:space="preserve"> </w:t>
      </w:r>
      <w:r>
        <w:t xml:space="preserve">Shifting lattice origin preserves artifacts under the same seed.</w:t>
      </w:r>
    </w:p>
    <w:p>
      <w:r>
        <w:pict>
          <v:rect style="width:0;height:1.5pt" o:hralign="center" o:hrstd="t" o:hr="t"/>
        </w:pict>
      </w:r>
    </w:p>
    <w:bookmarkEnd w:id="33"/>
    <w:bookmarkStart w:id="34" w:name="limitations-mitigations"/>
    <w:p>
      <w:pPr>
        <w:pStyle w:val="Heading2"/>
      </w:pPr>
      <w:r>
        <w:t xml:space="preserve">9) Limitations &amp; mitigations</w:t>
      </w:r>
    </w:p>
    <w:p>
      <w:pPr>
        <w:pStyle w:val="Compact"/>
        <w:numPr>
          <w:ilvl w:val="0"/>
          <w:numId w:val="1009"/>
        </w:numPr>
      </w:pPr>
      <w:r>
        <w:rPr>
          <w:b/>
          <w:bCs/>
        </w:rPr>
        <w:t xml:space="preserve">High‑pN noise floor.</w:t>
      </w:r>
      <w:r>
        <w:t xml:space="preserve"> </w:t>
      </w:r>
      <w:r>
        <w:t xml:space="preserve">When (V/V_0</w:t>
      </w:r>
      <w:r>
        <w:t xml:space="preserve">), sampling noise inflates log‑slope variance.</w:t>
      </w:r>
      <w:r>
        <w:t xml:space="preserve"> </w:t>
      </w:r>
      <w:r>
        <w:rPr>
          <w:i/>
          <w:iCs/>
        </w:rPr>
        <w:t xml:space="preserve">Mitigation:</w:t>
      </w:r>
      <w:r>
        <w:t xml:space="preserve"> </w:t>
      </w:r>
      <w:r>
        <w:t xml:space="preserve">increase histories or weight the fit by inverse variance in log space.</w:t>
      </w:r>
    </w:p>
    <w:p>
      <w:pPr>
        <w:pStyle w:val="Compact"/>
        <w:numPr>
          <w:ilvl w:val="0"/>
          <w:numId w:val="1009"/>
        </w:numPr>
      </w:pPr>
      <w:r>
        <w:rPr>
          <w:b/>
          <w:bCs/>
        </w:rPr>
        <w:t xml:space="preserve">Baseline drift.</w:t>
      </w:r>
      <w:r>
        <w:t xml:space="preserve"> </w:t>
      </w:r>
      <w:r>
        <w:t xml:space="preserve">Small seed‑wise fluctuations in (V_0) can affect ratios.</w:t>
      </w:r>
      <w:r>
        <w:t xml:space="preserve"> </w:t>
      </w:r>
      <w:r>
        <w:rPr>
          <w:i/>
          <w:iCs/>
        </w:rPr>
        <w:t xml:space="preserve">Mitigation:</w:t>
      </w:r>
      <w:r>
        <w:t xml:space="preserve"> </w:t>
      </w:r>
      <w:r>
        <w:t xml:space="preserve">bump histories at (p=0) or use pooled (V_0) per N.</w:t>
      </w:r>
    </w:p>
    <w:p>
      <w:pPr>
        <w:pStyle w:val="Compact"/>
        <w:numPr>
          <w:ilvl w:val="0"/>
          <w:numId w:val="1009"/>
        </w:numPr>
      </w:pPr>
      <w:r>
        <w:rPr>
          <w:b/>
          <w:bCs/>
        </w:rPr>
        <w:t xml:space="preserve">Fixed‑row marks.</w:t>
      </w:r>
      <w:r>
        <w:t xml:space="preserve"> </w:t>
      </w:r>
      <w:r>
        <w:t xml:space="preserve">Correlations can be probed by randomizing mark rows per history (Poissonizing with mean (</w:t>
      </w:r>
      <w:r>
        <w:t xml:space="preserve">=pN)); the collapse should remain vs (</w:t>
      </w:r>
      <w:r>
        <w:t xml:space="preserve">).</w:t>
      </w:r>
    </w:p>
    <w:p>
      <w:r>
        <w:pict>
          <v:rect style="width:0;height:1.5pt" o:hralign="center" o:hrstd="t" o:hr="t"/>
        </w:pict>
      </w:r>
    </w:p>
    <w:bookmarkEnd w:id="34"/>
    <w:bookmarkStart w:id="35" w:name="conclusion-interpretation"/>
    <w:p>
      <w:pPr>
        <w:pStyle w:val="Heading2"/>
      </w:pPr>
      <w:r>
        <w:t xml:space="preserve">10) Conclusion &amp; interpretation</w:t>
      </w:r>
    </w:p>
    <w:p>
      <w:pPr>
        <w:pStyle w:val="FirstParagraph"/>
      </w:pPr>
      <w:r>
        <w:t xml:space="preserve">Across three distinct mechanisms—</w:t>
      </w:r>
      <w:r>
        <w:rPr>
          <w:b/>
          <w:bCs/>
        </w:rPr>
        <w:t xml:space="preserve">symmetric meter complementarity</w:t>
      </w:r>
      <w:r>
        <w:t xml:space="preserve">,</w:t>
      </w:r>
      <w:r>
        <w:t xml:space="preserve"> </w:t>
      </w:r>
      <w:r>
        <w:rPr>
          <w:b/>
          <w:bCs/>
        </w:rPr>
        <w:t xml:space="preserve">phase‑jitter dephasing</w:t>
      </w:r>
      <w:r>
        <w:t xml:space="preserve">, and</w:t>
      </w:r>
      <w:r>
        <w:t xml:space="preserve"> </w:t>
      </w:r>
      <w:r>
        <w:rPr>
          <w:b/>
          <w:bCs/>
        </w:rPr>
        <w:t xml:space="preserve">boolean which‑path collisional decoherence</w:t>
      </w:r>
      <w:r>
        <w:t xml:space="preserve">—the present‑act V2 engine reproduces quantitative laws usually derived from amplitude calculus. Because control remains strictly</w:t>
      </w:r>
      <w:r>
        <w:t xml:space="preserve"> </w:t>
      </w:r>
      <w:r>
        <w:rPr>
          <w:b/>
          <w:bCs/>
        </w:rPr>
        <w:t xml:space="preserve">boolean/ordinal</w:t>
      </w:r>
      <w:r>
        <w:t xml:space="preserve"> </w:t>
      </w:r>
      <w:r>
        <w:t xml:space="preserve">and</w:t>
      </w:r>
      <w:r>
        <w:t xml:space="preserve"> </w:t>
      </w:r>
      <w:r>
        <w:rPr>
          <w:b/>
          <w:bCs/>
        </w:rPr>
        <w:t xml:space="preserve">randomness appears only at exact ties</w:t>
      </w:r>
      <w:r>
        <w:t xml:space="preserve">, these results are strong evidence that the</w:t>
      </w:r>
      <w:r>
        <w:t xml:space="preserve"> </w:t>
      </w:r>
      <w:r>
        <w:rPr>
          <w:b/>
          <w:bCs/>
        </w:rPr>
        <w:t xml:space="preserve">regularities arise from discrete relational structure</w:t>
      </w:r>
      <w:r>
        <w:t xml:space="preserve"> </w:t>
      </w:r>
      <w:r>
        <w:t xml:space="preserve">plus</w:t>
      </w:r>
      <w:r>
        <w:t xml:space="preserve"> </w:t>
      </w:r>
      <w:r>
        <w:rPr>
          <w:b/>
          <w:bCs/>
        </w:rPr>
        <w:t xml:space="preserve">ties‑only selection</w:t>
      </w:r>
      <w:r>
        <w:t xml:space="preserve">, not from hidden curve weights.</w:t>
      </w:r>
    </w:p>
    <w:p>
      <w:pPr>
        <w:pStyle w:val="BodyText"/>
      </w:pPr>
      <w:r>
        <w:t xml:space="preserve">This suite therefore functions as a</w:t>
      </w:r>
      <w:r>
        <w:t xml:space="preserve"> </w:t>
      </w:r>
      <w:r>
        <w:rPr>
          <w:b/>
          <w:bCs/>
        </w:rPr>
        <w:t xml:space="preserve">mechanism‑level validation</w:t>
      </w:r>
      <w:r>
        <w:t xml:space="preserve"> </w:t>
      </w:r>
      <w:r>
        <w:t xml:space="preserve">of the present‑act program. It also clarifies the conceptual claim:</w:t>
      </w:r>
      <w:r>
        <w:t xml:space="preserve"> </w:t>
      </w:r>
      <w:r>
        <w:rPr>
          <w:b/>
          <w:bCs/>
        </w:rPr>
        <w:t xml:space="preserve">information availability</w:t>
      </w:r>
      <w:r>
        <w:t xml:space="preserve"> </w:t>
      </w:r>
      <w:r>
        <w:t xml:space="preserve">(at the hinge) is sufficient to shape observed interference, while continuous amplitude machinery is not required inside the control law.</w:t>
      </w:r>
    </w:p>
    <w:p>
      <w:r>
        <w:pict>
          <v:rect style="width:0;height:1.5pt" o:hralign="center" o:hrstd="t" o:hr="t"/>
        </w:pict>
      </w:r>
    </w:p>
    <w:bookmarkEnd w:id="35"/>
    <w:bookmarkStart w:id="36" w:name="reproducibility-checklist"/>
    <w:p>
      <w:pPr>
        <w:pStyle w:val="Heading2"/>
      </w:pPr>
      <w:r>
        <w:t xml:space="preserve">11) Reproducibility checklist</w:t>
      </w:r>
    </w:p>
    <w:p>
      <w:pPr>
        <w:pStyle w:val="Compact"/>
        <w:numPr>
          <w:ilvl w:val="0"/>
          <w:numId w:val="1010"/>
        </w:numPr>
      </w:pPr>
      <w:r>
        <w:t xml:space="preserve">Repos:</w:t>
      </w:r>
      <w:r>
        <w:t xml:space="preserve"> </w:t>
      </w:r>
      <w:r>
        <w:rPr>
          <w:rStyle w:val="VerbatimChar"/>
        </w:rPr>
        <w:t xml:space="preserve">pa_v2_simA</w:t>
      </w:r>
      <w:r>
        <w:t xml:space="preserve">,</w:t>
      </w:r>
      <w:r>
        <w:t xml:space="preserve"> </w:t>
      </w:r>
      <w:r>
        <w:rPr>
          <w:rStyle w:val="VerbatimChar"/>
        </w:rPr>
        <w:t xml:space="preserve">pa_v2_simB</w:t>
      </w:r>
      <w:r>
        <w:t xml:space="preserve">,</w:t>
      </w:r>
      <w:r>
        <w:t xml:space="preserve"> </w:t>
      </w:r>
      <w:r>
        <w:rPr>
          <w:rStyle w:val="VerbatimChar"/>
        </w:rPr>
        <w:t xml:space="preserve">pa_v2_simC</w:t>
      </w:r>
      <w:r>
        <w:t xml:space="preserve"> </w:t>
      </w:r>
      <w:r>
        <w:t xml:space="preserve">(each with env, manifests, seeds, scripts, figs, CSVs).</w:t>
      </w:r>
    </w:p>
    <w:p>
      <w:pPr>
        <w:pStyle w:val="Compact"/>
        <w:numPr>
          <w:ilvl w:val="0"/>
          <w:numId w:val="1010"/>
        </w:numPr>
      </w:pPr>
      <w:r>
        <w:t xml:space="preserve">Seeds:</w:t>
      </w:r>
      <w:r>
        <w:t xml:space="preserve"> </w:t>
      </w:r>
      <w:r>
        <w:rPr>
          <w:rStyle w:val="VerbatimChar"/>
        </w:rPr>
        <w:t xml:space="preserve">{101, 202, 303}</w:t>
      </w:r>
      <w:r>
        <w:t xml:space="preserve">; Histories/setting:</w:t>
      </w:r>
      <w:r>
        <w:t xml:space="preserve"> </w:t>
      </w:r>
      <w:r>
        <w:rPr>
          <w:rStyle w:val="VerbatimChar"/>
        </w:rPr>
        <w:t xml:space="preserve">20,000</w:t>
      </w:r>
      <w:r>
        <w:t xml:space="preserve"> </w:t>
      </w:r>
      <w:r>
        <w:t xml:space="preserve">(increase for extreme pN).</w:t>
      </w:r>
    </w:p>
    <w:p>
      <w:pPr>
        <w:pStyle w:val="Compact"/>
        <w:numPr>
          <w:ilvl w:val="0"/>
          <w:numId w:val="1010"/>
        </w:numPr>
      </w:pPr>
      <w:r>
        <w:t xml:space="preserve">Lints: curve‑control ban; measure‑invariance; diagnostics‑leak guard; tie‑kernel primitivity; determinism; no‑skip.</w:t>
      </w:r>
    </w:p>
    <w:p>
      <w:pPr>
        <w:pStyle w:val="Compact"/>
        <w:numPr>
          <w:ilvl w:val="0"/>
          <w:numId w:val="1010"/>
        </w:numPr>
      </w:pPr>
      <w:r>
        <w:t xml:space="preserve">Reports: one CSV per setting + aggregated medians; plots as listed in §7.</w:t>
      </w:r>
    </w:p>
    <w:p>
      <w:r>
        <w:pict>
          <v:rect style="width:0;height:1.5pt" o:hralign="center" o:hrstd="t" o:hr="t"/>
        </w:pict>
      </w:r>
    </w:p>
    <w:bookmarkEnd w:id="36"/>
    <w:bookmarkStart w:id="37" w:name="appendix-metric-definitions"/>
    <w:p>
      <w:pPr>
        <w:pStyle w:val="Heading2"/>
      </w:pPr>
      <w:r>
        <w:t xml:space="preserve">12) Appendix — metric definitions</w:t>
      </w:r>
    </w:p>
    <w:p>
      <w:pPr>
        <w:pStyle w:val="Compact"/>
        <w:numPr>
          <w:ilvl w:val="0"/>
          <w:numId w:val="1011"/>
        </w:numPr>
      </w:pPr>
      <w:r>
        <w:rPr>
          <w:b/>
          <w:bCs/>
        </w:rPr>
        <w:t xml:space="preserve">Visibility:</w:t>
      </w:r>
      <w:r>
        <w:t xml:space="preserve"> </w:t>
      </w:r>
      <w:r>
        <w:t xml:space="preserve">(V=(I_{</w:t>
      </w:r>
      <w:r>
        <w:t xml:space="preserve">}-I_{</w:t>
      </w:r>
      <w:r>
        <w:t xml:space="preserve">})/(I_{</w:t>
      </w:r>
      <w:r>
        <w:t xml:space="preserve">}+I_{</w:t>
      </w:r>
      <w:r>
        <w:t xml:space="preserve">}+</w:t>
      </w:r>
      <w:r>
        <w:t xml:space="preserve">)), (</w:t>
      </w:r>
      <w:r>
        <w:t xml:space="preserve">) to avoid zero‑division.</w:t>
      </w:r>
    </w:p>
    <w:p>
      <w:pPr>
        <w:pStyle w:val="Compact"/>
        <w:numPr>
          <w:ilvl w:val="0"/>
          <w:numId w:val="1011"/>
        </w:numPr>
      </w:pPr>
      <w:r>
        <w:rPr>
          <w:b/>
          <w:bCs/>
        </w:rPr>
        <w:t xml:space="preserve">Distinguishability:</w:t>
      </w:r>
      <w:r>
        <w:t xml:space="preserve"> </w:t>
      </w:r>
      <w:r>
        <w:t xml:space="preserve">(D=</w:t>
      </w:r>
      <w:r>
        <w:t xml:space="preserve">_o |p(o|U)-p(o|L)|).</w:t>
      </w:r>
    </w:p>
    <w:p>
      <w:pPr>
        <w:pStyle w:val="Compact"/>
        <w:numPr>
          <w:ilvl w:val="0"/>
          <w:numId w:val="1011"/>
        </w:numPr>
      </w:pPr>
      <w:r>
        <w:rPr>
          <w:b/>
          <w:bCs/>
        </w:rPr>
        <w:t xml:space="preserve">Collapse quality:</w:t>
      </w:r>
      <w:r>
        <w:t xml:space="preserve"> </w:t>
      </w:r>
      <w:r>
        <w:t xml:space="preserve">regression of (V/V_0) vs (e^{-pN}): report RMSE and (R^2).</w:t>
      </w:r>
    </w:p>
    <w:p>
      <w:pPr>
        <w:pStyle w:val="Compact"/>
        <w:numPr>
          <w:ilvl w:val="0"/>
          <w:numId w:val="1011"/>
        </w:numPr>
      </w:pPr>
      <w:r>
        <w:rPr>
          <w:b/>
          <w:bCs/>
        </w:rPr>
        <w:t xml:space="preserve">Slope quality (C):</w:t>
      </w:r>
      <w:r>
        <w:t xml:space="preserve"> </w:t>
      </w:r>
      <w:r>
        <w:t xml:space="preserve">linear fit of (</w:t>
      </w:r>
      <w:r>
        <w:t xml:space="preserve">(V/V_0)) vs (N): compare slope to (</w:t>
      </w:r>
      <w:r>
        <w:t xml:space="preserve">(1-p)).</w:t>
      </w:r>
    </w:p>
    <w:p>
      <w:r>
        <w:pict>
          <v:rect style="width:0;height:1.5pt" o:hralign="center" o:hrstd="t" o:hr="t"/>
        </w:pict>
      </w:r>
    </w:p>
    <w:bookmarkEnd w:id="37"/>
    <w:bookmarkStart w:id="38" w:name="next-steps"/>
    <w:p>
      <w:pPr>
        <w:pStyle w:val="Heading2"/>
      </w:pPr>
      <w:r>
        <w:t xml:space="preserve">13) Next steps</w:t>
      </w:r>
    </w:p>
    <w:p>
      <w:pPr>
        <w:pStyle w:val="Compact"/>
        <w:numPr>
          <w:ilvl w:val="0"/>
          <w:numId w:val="1012"/>
        </w:numPr>
      </w:pPr>
      <w:r>
        <w:rPr>
          <w:b/>
          <w:bCs/>
        </w:rPr>
        <w:t xml:space="preserve">Optics limit:</w:t>
      </w:r>
      <w:r>
        <w:t xml:space="preserve"> </w:t>
      </w:r>
      <w:r>
        <w:t xml:space="preserve">JFM → Fermat focusing (mesh‑refinement theorem + numerics).</w:t>
      </w:r>
    </w:p>
    <w:p>
      <w:pPr>
        <w:pStyle w:val="Compact"/>
        <w:numPr>
          <w:ilvl w:val="0"/>
          <w:numId w:val="1012"/>
        </w:numPr>
      </w:pPr>
      <w:r>
        <w:rPr>
          <w:b/>
          <w:bCs/>
        </w:rPr>
        <w:t xml:space="preserve">UGM/T* meta‑analysis:</w:t>
      </w:r>
      <w:r>
        <w:t xml:space="preserve"> </w:t>
      </w:r>
      <w:r>
        <w:t xml:space="preserve">cross‑modal hinge scales (vision/touch/</w:t>
      </w:r>
      <w:r>
        <w:t xml:space="preserve">“as‑one”</w:t>
      </w:r>
      <w:r>
        <w:t xml:space="preserve"> </w:t>
      </w:r>
      <w:r>
        <w:t xml:space="preserve">CNS) using public data.</w:t>
      </w:r>
    </w:p>
    <w:p>
      <w:pPr>
        <w:pStyle w:val="Compact"/>
        <w:numPr>
          <w:ilvl w:val="0"/>
          <w:numId w:val="1012"/>
        </w:numPr>
      </w:pPr>
      <w:r>
        <w:rPr>
          <w:b/>
          <w:bCs/>
        </w:rPr>
        <w:t xml:space="preserve">Write‑up:</w:t>
      </w:r>
      <w:r>
        <w:t xml:space="preserve"> </w:t>
      </w:r>
      <w:r>
        <w:t xml:space="preserve">polish this brief into a 4–6 page paper section with consolidated figures and ablation panel.</w:t>
      </w:r>
    </w:p>
    <w:bookmarkEnd w:id="38"/>
    <w:bookmarkEnd w:id="39"/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abstractNum w:abstractNumId="991">
    <w:nsid w:val="0000A991"/>
    <w:multiLevelType w:val="multilevel"/>
    <w:lvl w:ilvl="0"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9411">
    <w:nsid w:val="00A99411"/>
    <w:multiLevelType w:val="multilevel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  <w:num w:numId="1004">
    <w:abstractNumId w:val="991"/>
  </w:num>
  <w:num w:numId="1005">
    <w:abstractNumId w:val="991"/>
  </w:num>
  <w:num w:numId="1006">
    <w:abstractNumId w:val="991"/>
  </w:num>
  <w:num w:numId="1007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1"/>
  </w:num>
  <w:num w:numId="1009">
    <w:abstractNumId w:val="991"/>
  </w:num>
  <w:num w:numId="1010">
    <w:abstractNumId w:val="991"/>
  </w:num>
  <w:num w:numId="1011">
    <w:abstractNumId w:val="991"/>
  </w:num>
  <w:num w:numId="101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2025-11-01T18:44:07Z</dcterms:created>
  <dcterms:modified xsi:type="dcterms:W3CDTF">2025-11-01T18:44:07Z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